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DC176">
      <w:pPr>
        <w:spacing w:line="500" w:lineRule="exact"/>
        <w:jc w:val="center"/>
        <w:rPr>
          <w:rFonts w:hint="eastAsia" w:ascii="黑体" w:hAnsi="黑体" w:eastAsia="黑体"/>
          <w:sz w:val="44"/>
          <w:szCs w:val="44"/>
        </w:rPr>
      </w:pPr>
      <w:r>
        <w:rPr>
          <w:rFonts w:hint="eastAsia" w:ascii="黑体" w:hAnsi="黑体" w:eastAsia="黑体"/>
          <w:sz w:val="44"/>
          <w:szCs w:val="44"/>
        </w:rPr>
        <w:t>个人综述材料</w:t>
      </w:r>
    </w:p>
    <w:p w14:paraId="655FC1A0">
      <w:pPr>
        <w:spacing w:line="500" w:lineRule="exact"/>
        <w:jc w:val="center"/>
        <w:rPr>
          <w:rFonts w:hint="eastAsia"/>
          <w:b/>
          <w:sz w:val="44"/>
          <w:szCs w:val="44"/>
        </w:rPr>
      </w:pPr>
    </w:p>
    <w:p w14:paraId="2157E34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一、个人基本情况</w:t>
      </w:r>
    </w:p>
    <w:p w14:paraId="72570D5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本人</w:t>
      </w:r>
      <w:r>
        <w:rPr>
          <w:rFonts w:hint="eastAsia" w:ascii="仿宋" w:hAnsi="仿宋" w:eastAsia="仿宋" w:cs="仿宋"/>
          <w:sz w:val="32"/>
          <w:szCs w:val="32"/>
          <w:lang w:val="en-US" w:eastAsia="zh-CN"/>
        </w:rPr>
        <w:t>韩潇霏</w:t>
      </w:r>
      <w:r>
        <w:rPr>
          <w:rFonts w:hint="eastAsia" w:ascii="仿宋" w:hAnsi="仿宋" w:eastAsia="仿宋" w:cs="仿宋"/>
          <w:sz w:val="32"/>
          <w:szCs w:val="32"/>
        </w:rPr>
        <w:t>，</w:t>
      </w:r>
      <w:r>
        <w:rPr>
          <w:rFonts w:hint="eastAsia" w:ascii="仿宋" w:hAnsi="仿宋" w:eastAsia="仿宋" w:cs="仿宋"/>
          <w:sz w:val="32"/>
          <w:szCs w:val="32"/>
          <w:lang w:val="en-US" w:eastAsia="zh-CN"/>
        </w:rPr>
        <w:t>女</w:t>
      </w:r>
      <w:r>
        <w:rPr>
          <w:rFonts w:hint="eastAsia" w:ascii="仿宋" w:hAnsi="仿宋" w:eastAsia="仿宋" w:cs="仿宋"/>
          <w:sz w:val="32"/>
          <w:szCs w:val="32"/>
        </w:rPr>
        <w:t>，</w:t>
      </w:r>
      <w:r>
        <w:rPr>
          <w:rFonts w:hint="eastAsia" w:ascii="仿宋" w:hAnsi="仿宋" w:eastAsia="仿宋" w:cs="仿宋"/>
          <w:sz w:val="32"/>
          <w:szCs w:val="32"/>
          <w:lang w:val="en-US" w:eastAsia="zh-CN"/>
        </w:rPr>
        <w:t>1989年9月生</w:t>
      </w:r>
      <w:r>
        <w:rPr>
          <w:rFonts w:hint="eastAsia" w:ascii="仿宋" w:hAnsi="仿宋" w:eastAsia="仿宋" w:cs="仿宋"/>
          <w:sz w:val="32"/>
          <w:szCs w:val="32"/>
        </w:rPr>
        <w:t>，</w:t>
      </w:r>
      <w:r>
        <w:rPr>
          <w:rFonts w:hint="eastAsia" w:ascii="仿宋" w:hAnsi="仿宋" w:eastAsia="仿宋" w:cs="仿宋"/>
          <w:sz w:val="32"/>
          <w:szCs w:val="32"/>
          <w:lang w:val="en-US" w:eastAsia="zh-CN"/>
        </w:rPr>
        <w:t>海南文昌人，三亚学院社会工作讲师</w:t>
      </w:r>
      <w:r>
        <w:rPr>
          <w:rFonts w:hint="eastAsia" w:ascii="仿宋" w:hAnsi="仿宋" w:eastAsia="仿宋" w:cs="仿宋"/>
          <w:sz w:val="32"/>
          <w:szCs w:val="32"/>
        </w:rPr>
        <w:t>，</w:t>
      </w:r>
      <w:r>
        <w:rPr>
          <w:rFonts w:hint="eastAsia" w:ascii="仿宋" w:hAnsi="仿宋" w:eastAsia="仿宋" w:cs="仿宋"/>
          <w:sz w:val="32"/>
          <w:szCs w:val="32"/>
          <w:lang w:val="en-US" w:eastAsia="zh-CN"/>
        </w:rPr>
        <w:t>华中师范大学社会工作</w:t>
      </w:r>
      <w:r>
        <w:rPr>
          <w:rFonts w:hint="eastAsia" w:ascii="仿宋" w:hAnsi="仿宋" w:eastAsia="仿宋" w:cs="仿宋"/>
          <w:sz w:val="32"/>
          <w:szCs w:val="32"/>
        </w:rPr>
        <w:t>硕士研究生，</w:t>
      </w:r>
      <w:r>
        <w:rPr>
          <w:rFonts w:hint="eastAsia" w:ascii="仿宋" w:hAnsi="仿宋" w:eastAsia="仿宋" w:cs="仿宋"/>
          <w:sz w:val="32"/>
          <w:szCs w:val="32"/>
          <w:lang w:val="en-US" w:eastAsia="zh-CN"/>
        </w:rPr>
        <w:t>马来西亚理科大学博士在读。2019年被评为海南省第一届优秀社会工作人才，2020年被评委海南省拔尖人才。海南省第一批社会工作督导，三亚市第二批社会工作督导。</w:t>
      </w:r>
    </w:p>
    <w:p w14:paraId="6152E85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二、职务</w:t>
      </w:r>
    </w:p>
    <w:p w14:paraId="3031233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14</w:t>
      </w:r>
      <w:r>
        <w:rPr>
          <w:rFonts w:hint="eastAsia" w:ascii="仿宋" w:hAnsi="仿宋" w:eastAsia="仿宋" w:cs="仿宋"/>
          <w:sz w:val="32"/>
          <w:szCs w:val="32"/>
        </w:rPr>
        <w:t>年获的海南省高校教师资格证书，当年评为助教，</w:t>
      </w:r>
      <w:r>
        <w:rPr>
          <w:rFonts w:hint="eastAsia" w:ascii="仿宋" w:hAnsi="仿宋" w:eastAsia="仿宋" w:cs="仿宋"/>
          <w:sz w:val="32"/>
          <w:szCs w:val="32"/>
          <w:lang w:val="en-US" w:eastAsia="zh-CN"/>
        </w:rPr>
        <w:t>2016年兼任三亚蓝海社会工作督导；</w:t>
      </w:r>
      <w:r>
        <w:rPr>
          <w:rFonts w:hint="eastAsia" w:ascii="仿宋" w:hAnsi="仿宋" w:eastAsia="仿宋" w:cs="仿宋"/>
          <w:sz w:val="32"/>
          <w:szCs w:val="32"/>
        </w:rPr>
        <w:t>201</w:t>
      </w:r>
      <w:r>
        <w:rPr>
          <w:rFonts w:hint="eastAsia" w:ascii="仿宋" w:hAnsi="仿宋" w:eastAsia="仿宋" w:cs="仿宋"/>
          <w:sz w:val="32"/>
          <w:szCs w:val="32"/>
          <w:lang w:val="en-US" w:eastAsia="zh-CN"/>
        </w:rPr>
        <w:t>7</w:t>
      </w:r>
      <w:r>
        <w:rPr>
          <w:rFonts w:hint="eastAsia" w:ascii="仿宋" w:hAnsi="仿宋" w:eastAsia="仿宋" w:cs="仿宋"/>
          <w:sz w:val="32"/>
          <w:szCs w:val="32"/>
        </w:rPr>
        <w:t>年评为讲师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2019年兼任琼海市源野社会工作服务社副理事长；2023年被聘为三亚学院硕士生导师。</w:t>
      </w:r>
    </w:p>
    <w:p w14:paraId="43D0200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三、学历</w:t>
      </w:r>
    </w:p>
    <w:p w14:paraId="74B4B90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08</w:t>
      </w:r>
      <w:r>
        <w:rPr>
          <w:rFonts w:hint="eastAsia" w:ascii="仿宋" w:hAnsi="仿宋" w:eastAsia="仿宋" w:cs="仿宋"/>
          <w:sz w:val="32"/>
          <w:szCs w:val="32"/>
        </w:rPr>
        <w:t>年9月—20</w:t>
      </w:r>
      <w:r>
        <w:rPr>
          <w:rFonts w:hint="eastAsia" w:ascii="仿宋" w:hAnsi="仿宋" w:eastAsia="仿宋" w:cs="仿宋"/>
          <w:sz w:val="32"/>
          <w:szCs w:val="32"/>
          <w:lang w:val="en-US" w:eastAsia="zh-CN"/>
        </w:rPr>
        <w:t>12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华中师范大学</w:t>
      </w:r>
      <w:r>
        <w:rPr>
          <w:rFonts w:hint="eastAsia" w:ascii="仿宋" w:hAnsi="仿宋" w:eastAsia="仿宋" w:cs="仿宋"/>
          <w:sz w:val="32"/>
          <w:szCs w:val="32"/>
        </w:rPr>
        <w:t>，全日制本科（专业：</w:t>
      </w:r>
      <w:r>
        <w:rPr>
          <w:rFonts w:hint="eastAsia" w:ascii="仿宋" w:hAnsi="仿宋" w:eastAsia="仿宋" w:cs="仿宋"/>
          <w:sz w:val="32"/>
          <w:szCs w:val="32"/>
          <w:lang w:val="en-US" w:eastAsia="zh-CN"/>
        </w:rPr>
        <w:t>社会工作</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获本科毕业证，学士学位证。</w:t>
      </w:r>
    </w:p>
    <w:p w14:paraId="14620AF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12</w:t>
      </w:r>
      <w:r>
        <w:rPr>
          <w:rFonts w:hint="eastAsia" w:ascii="仿宋" w:hAnsi="仿宋" w:eastAsia="仿宋" w:cs="仿宋"/>
          <w:sz w:val="32"/>
          <w:szCs w:val="32"/>
        </w:rPr>
        <w:t>年9月—201</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华中师范大学</w:t>
      </w:r>
      <w:r>
        <w:rPr>
          <w:rFonts w:hint="eastAsia" w:ascii="仿宋" w:hAnsi="仿宋" w:eastAsia="仿宋" w:cs="仿宋"/>
          <w:sz w:val="32"/>
          <w:szCs w:val="32"/>
        </w:rPr>
        <w:t>，全日制硕士研究生（专业：</w:t>
      </w:r>
      <w:r>
        <w:rPr>
          <w:rFonts w:hint="eastAsia" w:ascii="仿宋" w:hAnsi="仿宋" w:eastAsia="仿宋" w:cs="仿宋"/>
          <w:sz w:val="32"/>
          <w:szCs w:val="32"/>
          <w:lang w:val="en-US" w:eastAsia="zh-CN"/>
        </w:rPr>
        <w:t>社会工作</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获研究生毕业证，硕士学位证。</w:t>
      </w:r>
    </w:p>
    <w:p w14:paraId="2806E9C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2021年10月-至今 马来亚理科大学，博士在读。</w:t>
      </w:r>
    </w:p>
    <w:p w14:paraId="34E5415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四、资历</w:t>
      </w:r>
    </w:p>
    <w:p w14:paraId="4E90C20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0</w:t>
      </w:r>
      <w:r>
        <w:rPr>
          <w:rFonts w:hint="eastAsia" w:ascii="仿宋" w:hAnsi="仿宋" w:eastAsia="仿宋" w:cs="仿宋"/>
          <w:sz w:val="32"/>
          <w:szCs w:val="32"/>
          <w:lang w:val="en-US" w:eastAsia="zh-CN"/>
        </w:rPr>
        <w:t>14</w:t>
      </w:r>
      <w:r>
        <w:rPr>
          <w:rFonts w:hint="eastAsia" w:ascii="仿宋" w:hAnsi="仿宋" w:eastAsia="仿宋" w:cs="仿宋"/>
          <w:sz w:val="32"/>
          <w:szCs w:val="32"/>
        </w:rPr>
        <w:t>年</w:t>
      </w:r>
      <w:r>
        <w:rPr>
          <w:rFonts w:hint="eastAsia" w:ascii="仿宋" w:hAnsi="仿宋" w:eastAsia="仿宋" w:cs="仿宋"/>
          <w:sz w:val="32"/>
          <w:szCs w:val="32"/>
          <w:lang w:val="en-US" w:eastAsia="zh-CN"/>
        </w:rPr>
        <w:t>入职三亚学院社会工作教师岗，并担</w:t>
      </w:r>
      <w:r>
        <w:rPr>
          <w:rFonts w:hint="eastAsia" w:ascii="仿宋" w:hAnsi="仿宋" w:eastAsia="仿宋" w:cs="仿宋"/>
          <w:sz w:val="32"/>
          <w:szCs w:val="32"/>
        </w:rPr>
        <w:t>任助教</w:t>
      </w:r>
      <w:r>
        <w:rPr>
          <w:rFonts w:hint="eastAsia" w:ascii="仿宋" w:hAnsi="仿宋" w:eastAsia="仿宋" w:cs="仿宋"/>
          <w:sz w:val="32"/>
          <w:szCs w:val="32"/>
          <w:lang w:eastAsia="zh-CN"/>
        </w:rPr>
        <w:t>。</w:t>
      </w:r>
      <w:r>
        <w:rPr>
          <w:rFonts w:hint="eastAsia" w:ascii="仿宋" w:hAnsi="仿宋" w:eastAsia="仿宋" w:cs="仿宋"/>
          <w:sz w:val="32"/>
          <w:szCs w:val="32"/>
        </w:rPr>
        <w:t>201</w:t>
      </w:r>
      <w:r>
        <w:rPr>
          <w:rFonts w:hint="eastAsia" w:ascii="仿宋" w:hAnsi="仿宋" w:eastAsia="仿宋" w:cs="仿宋"/>
          <w:sz w:val="32"/>
          <w:szCs w:val="32"/>
          <w:lang w:val="en-US" w:eastAsia="zh-CN"/>
        </w:rPr>
        <w:t>7</w:t>
      </w:r>
      <w:r>
        <w:rPr>
          <w:rFonts w:hint="eastAsia" w:ascii="仿宋" w:hAnsi="仿宋" w:eastAsia="仿宋" w:cs="仿宋"/>
          <w:sz w:val="32"/>
          <w:szCs w:val="32"/>
        </w:rPr>
        <w:t>年</w:t>
      </w:r>
      <w:r>
        <w:rPr>
          <w:rFonts w:hint="eastAsia" w:ascii="仿宋" w:hAnsi="仿宋" w:eastAsia="仿宋" w:cs="仿宋"/>
          <w:sz w:val="32"/>
          <w:szCs w:val="32"/>
          <w:lang w:val="en-US" w:eastAsia="zh-CN"/>
        </w:rPr>
        <w:t>12月被</w:t>
      </w:r>
      <w:r>
        <w:rPr>
          <w:rFonts w:hint="eastAsia" w:ascii="仿宋" w:hAnsi="仿宋" w:eastAsia="仿宋" w:cs="仿宋"/>
          <w:sz w:val="32"/>
          <w:szCs w:val="32"/>
        </w:rPr>
        <w:t>评为讲师，目前</w:t>
      </w:r>
      <w:r>
        <w:rPr>
          <w:rFonts w:hint="eastAsia" w:ascii="仿宋" w:hAnsi="仿宋" w:eastAsia="仿宋" w:cs="仿宋"/>
          <w:sz w:val="32"/>
          <w:szCs w:val="32"/>
          <w:lang w:val="en-US" w:eastAsia="zh-CN"/>
        </w:rPr>
        <w:t>累计</w:t>
      </w:r>
      <w:r>
        <w:rPr>
          <w:rFonts w:hint="eastAsia" w:ascii="仿宋" w:hAnsi="仿宋" w:eastAsia="仿宋" w:cs="仿宋"/>
          <w:sz w:val="32"/>
          <w:szCs w:val="32"/>
        </w:rPr>
        <w:t>从事教学工作</w:t>
      </w:r>
      <w:r>
        <w:rPr>
          <w:rFonts w:hint="eastAsia" w:ascii="仿宋" w:hAnsi="仿宋" w:eastAsia="仿宋" w:cs="仿宋"/>
          <w:sz w:val="32"/>
          <w:szCs w:val="32"/>
          <w:lang w:val="en-US" w:eastAsia="zh-CN"/>
        </w:rPr>
        <w:t>近10年。在担任教师的同时，为了更好的做好教学实践工作，在工作之余投入本专业的行业服务，一是为了学生寻找合适的单位实习，二是为了增强自身的实践性，为课堂教学改革做准备。</w:t>
      </w:r>
    </w:p>
    <w:p w14:paraId="0448BA3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2016年在三亚蓝海社会工作服务社担任督导，并为学生链接了实践平台，带领学生开展三亚市首批学校社会工作服务项目；2019年协助毕业生创立琼海市第一家社会工作服务社，并应学生邀请</w:t>
      </w:r>
      <w:r>
        <w:rPr>
          <w:rFonts w:hint="eastAsia" w:ascii="仿宋" w:hAnsi="仿宋" w:eastAsia="仿宋" w:cs="仿宋"/>
          <w:sz w:val="32"/>
          <w:szCs w:val="32"/>
        </w:rPr>
        <w:t>兼任</w:t>
      </w:r>
      <w:r>
        <w:rPr>
          <w:rFonts w:hint="eastAsia" w:ascii="仿宋" w:hAnsi="仿宋" w:eastAsia="仿宋" w:cs="仿宋"/>
          <w:sz w:val="32"/>
          <w:szCs w:val="32"/>
          <w:lang w:val="en-US" w:eastAsia="zh-CN"/>
        </w:rPr>
        <w:t>琼海市源野社会工作服务社副理事长及顾问。2019年被评为海南省第一届优秀社会工作人才，2020年被评委海南省拔尖人才。2020年完成海南省第一批社会工作督导培训，2022年被评为三亚市第二批社会工作督导。</w:t>
      </w:r>
    </w:p>
    <w:p w14:paraId="2EF26A7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五、考核情况</w:t>
      </w:r>
    </w:p>
    <w:p w14:paraId="0BBBAA1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sz w:val="32"/>
          <w:szCs w:val="32"/>
        </w:rPr>
        <w:t>本人自</w:t>
      </w:r>
      <w:r>
        <w:rPr>
          <w:rFonts w:hint="eastAsia" w:ascii="仿宋" w:hAnsi="仿宋" w:eastAsia="仿宋" w:cs="仿宋"/>
          <w:sz w:val="32"/>
          <w:szCs w:val="32"/>
          <w:lang w:val="en-US" w:eastAsia="zh-CN"/>
        </w:rPr>
        <w:t>入职以来，</w:t>
      </w:r>
      <w:r>
        <w:rPr>
          <w:rFonts w:hint="eastAsia" w:ascii="仿宋" w:hAnsi="仿宋" w:eastAsia="仿宋" w:cs="仿宋"/>
          <w:sz w:val="32"/>
          <w:szCs w:val="32"/>
        </w:rPr>
        <w:t>严格遵守学院教学、管理规范和条例，</w:t>
      </w:r>
      <w:r>
        <w:rPr>
          <w:rFonts w:hint="eastAsia" w:ascii="仿宋" w:hAnsi="仿宋" w:eastAsia="仿宋" w:cs="仿宋"/>
          <w:sz w:val="32"/>
          <w:szCs w:val="32"/>
          <w:lang w:val="en-US" w:eastAsia="zh-CN"/>
        </w:rPr>
        <w:t>较好的</w:t>
      </w:r>
      <w:r>
        <w:rPr>
          <w:rFonts w:hint="eastAsia" w:ascii="仿宋" w:hAnsi="仿宋" w:eastAsia="仿宋" w:cs="仿宋"/>
          <w:sz w:val="32"/>
          <w:szCs w:val="32"/>
        </w:rPr>
        <w:t>完成</w:t>
      </w:r>
      <w:r>
        <w:rPr>
          <w:rFonts w:hint="eastAsia" w:ascii="仿宋" w:hAnsi="仿宋" w:eastAsia="仿宋" w:cs="仿宋"/>
          <w:color w:val="auto"/>
          <w:sz w:val="32"/>
          <w:szCs w:val="32"/>
        </w:rPr>
        <w:t>了学院交予的各方面任务及教改工作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自入职以来，表现良好，其中15/16学年、21/22和23/24学年考核为优秀。</w:t>
      </w:r>
    </w:p>
    <w:p w14:paraId="189B3F9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六、政治思想方面和教师职业道德条件</w:t>
      </w:r>
    </w:p>
    <w:p w14:paraId="1159E16D">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自工作以来，一直牢记行业使命，不忘初心，不断锻炼自身各项能力和品德，</w:t>
      </w:r>
      <w:r>
        <w:rPr>
          <w:rFonts w:hint="eastAsia" w:ascii="仿宋" w:hAnsi="仿宋" w:eastAsia="仿宋" w:cs="仿宋"/>
          <w:sz w:val="32"/>
          <w:szCs w:val="32"/>
        </w:rPr>
        <w:t>坚持用科学的世界观和方法论指导教育教学工作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w:t>
      </w:r>
      <w:r>
        <w:rPr>
          <w:rFonts w:hint="eastAsia" w:ascii="仿宋" w:hAnsi="仿宋" w:eastAsia="仿宋" w:cs="仿宋"/>
          <w:sz w:val="32"/>
          <w:szCs w:val="32"/>
        </w:rPr>
        <w:t>不断提高自身的思想修养和综合素质</w:t>
      </w:r>
      <w:r>
        <w:rPr>
          <w:rFonts w:hint="eastAsia" w:ascii="仿宋" w:hAnsi="仿宋" w:eastAsia="仿宋" w:cs="仿宋"/>
          <w:sz w:val="32"/>
          <w:szCs w:val="32"/>
          <w:lang w:eastAsia="zh-CN"/>
        </w:rPr>
        <w:t>，</w:t>
      </w:r>
      <w:r>
        <w:rPr>
          <w:rFonts w:hint="eastAsia" w:ascii="仿宋" w:hAnsi="仿宋" w:eastAsia="仿宋" w:cs="仿宋"/>
          <w:sz w:val="32"/>
          <w:szCs w:val="32"/>
        </w:rPr>
        <w:t>以身作则，做学生的榜样</w:t>
      </w:r>
      <w:r>
        <w:rPr>
          <w:rFonts w:hint="eastAsia" w:ascii="仿宋" w:hAnsi="仿宋" w:eastAsia="仿宋" w:cs="仿宋"/>
          <w:sz w:val="32"/>
          <w:szCs w:val="32"/>
          <w:lang w:eastAsia="zh-CN"/>
        </w:rPr>
        <w:t>，</w:t>
      </w:r>
      <w:r>
        <w:rPr>
          <w:rFonts w:hint="eastAsia" w:ascii="仿宋" w:hAnsi="仿宋" w:eastAsia="仿宋" w:cs="仿宋"/>
          <w:sz w:val="32"/>
          <w:szCs w:val="32"/>
        </w:rPr>
        <w:t>关心学生的成长和发展，传递正确的价值观和道德观念，引导学生树立正确的世界观、人生观和价值观。以学生为中心，关注学生的全面发展</w:t>
      </w:r>
      <w:r>
        <w:rPr>
          <w:rFonts w:hint="eastAsia" w:ascii="仿宋" w:hAnsi="仿宋" w:eastAsia="仿宋" w:cs="仿宋"/>
          <w:sz w:val="32"/>
          <w:szCs w:val="32"/>
          <w:lang w:eastAsia="zh-CN"/>
        </w:rPr>
        <w:t>，</w:t>
      </w:r>
      <w:r>
        <w:rPr>
          <w:rFonts w:hint="eastAsia" w:ascii="仿宋" w:hAnsi="仿宋" w:eastAsia="仿宋" w:cs="仿宋"/>
          <w:sz w:val="32"/>
          <w:szCs w:val="32"/>
        </w:rPr>
        <w:t>根据学生的特点和需求，制定合理的教学计划和教学方法，提供优质的教育教学服务，促进学生的学业进步和全面发展。</w:t>
      </w:r>
    </w:p>
    <w:p w14:paraId="4ECAFB8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在教学的过程中</w:t>
      </w:r>
      <w:r>
        <w:rPr>
          <w:rFonts w:hint="eastAsia" w:ascii="仿宋" w:hAnsi="仿宋" w:eastAsia="仿宋" w:cs="仿宋"/>
          <w:sz w:val="32"/>
          <w:szCs w:val="32"/>
        </w:rPr>
        <w:t>关注教学改革，平时能认真参加本专业的教研活动。能从各方面从严要求自己，积极向有经验的教授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专家</w:t>
      </w:r>
      <w:r>
        <w:rPr>
          <w:rFonts w:hint="eastAsia" w:ascii="仿宋" w:hAnsi="仿宋" w:eastAsia="仿宋" w:cs="仿宋"/>
          <w:sz w:val="32"/>
          <w:szCs w:val="32"/>
        </w:rPr>
        <w:t>请教，结合本学校本专业的实际情况，勤勤恳恳，使教学工作有计划、有组织、有步骤的开展。在教学中认真备好每一堂课，根据教材内容及学生的实际情况进行教学，在课堂上注重调动学生的积极性，采用启发式的教学方法进行提问，加强师生之间的交流。在工作中本人遵守教育法规、爱岗敬业、为人师表，以学校的发展为己任，甘于奉献。任职以来本人的思想和师德表现都得到了领导、同事、学生们的充分肯定。</w:t>
      </w:r>
    </w:p>
    <w:p w14:paraId="22E89A6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在做好教师行业的同时，努力学习各项海南政策，响应各级政府的号召。努力为海南培育优秀人才，也努力为海南各项民生事业做出自己的贡献。自工作以来，一直牢记行业使命，不忘初心，不断修炼自身各项能力和品德；是在把推动海南社会工作行业发展作为自己的重要使命完成。在此期间多次参与各市县及海南社会工作发展的重大推动项目，尝试推动社会工作不同领域的发展，并有一定成效。</w:t>
      </w:r>
    </w:p>
    <w:p w14:paraId="34802FA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七、继续教育情况</w:t>
      </w:r>
    </w:p>
    <w:p w14:paraId="4391258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（一）教师专业考试项目</w:t>
      </w:r>
    </w:p>
    <w:p w14:paraId="46EC302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19</w:t>
      </w:r>
      <w:r>
        <w:rPr>
          <w:rFonts w:hint="eastAsia" w:ascii="仿宋" w:hAnsi="仿宋" w:eastAsia="仿宋" w:cs="仿宋"/>
          <w:sz w:val="32"/>
          <w:szCs w:val="32"/>
        </w:rPr>
        <w:t>年7月</w:t>
      </w:r>
      <w:r>
        <w:rPr>
          <w:rFonts w:hint="eastAsia" w:ascii="仿宋" w:hAnsi="仿宋" w:eastAsia="仿宋" w:cs="仿宋"/>
          <w:sz w:val="32"/>
          <w:szCs w:val="32"/>
          <w:lang w:val="en-US" w:eastAsia="zh-CN"/>
        </w:rPr>
        <w:t>-2020年</w:t>
      </w:r>
      <w:r>
        <w:rPr>
          <w:rFonts w:hint="eastAsia" w:ascii="仿宋" w:hAnsi="仿宋" w:eastAsia="仿宋" w:cs="仿宋"/>
          <w:sz w:val="32"/>
          <w:szCs w:val="32"/>
        </w:rPr>
        <w:t>8月</w:t>
      </w:r>
      <w:r>
        <w:rPr>
          <w:rFonts w:hint="eastAsia" w:ascii="仿宋" w:hAnsi="仿宋" w:eastAsia="仿宋" w:cs="仿宋"/>
          <w:sz w:val="32"/>
          <w:szCs w:val="32"/>
          <w:lang w:val="en-US" w:eastAsia="zh-CN"/>
        </w:rPr>
        <w:t>赴北京大学，参与进修教师培训。</w:t>
      </w:r>
    </w:p>
    <w:p w14:paraId="17C7B5B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2020年10月-2020年12月，参加由海南省民政厅主办，广东省社会工作师联合会承办的2020年海南省社会工作专业督导培训，修完全部课程，攻击83个学士，考评等级良好。</w:t>
      </w:r>
    </w:p>
    <w:p w14:paraId="7EB0E73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2022年6月-2022年9月，参加高校领导干部和教师信息信息化素养与教育数字化能力提升专题网络培训，完成40学时（45分钟/学时）学习任务，考核合格。</w:t>
      </w:r>
    </w:p>
    <w:p w14:paraId="4FD917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2022年6月-2022年9月，参加激发动力、凝聚合力、打造团队创新力--加强高校基层教学组织建设专题网络培训，成40学时（45分钟/学时）学习任务，考核合格。</w:t>
      </w:r>
    </w:p>
    <w:p w14:paraId="259A95E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自2023年5月至8月参加推动研究生教育高质量发展 着力造就拔尖创新人才--2023年高校研究生导师网络培训，完成40学时 (45分钟/学时)学习任务，经考核合格。</w:t>
      </w:r>
    </w:p>
    <w:p w14:paraId="5B4EFE2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-2023年1</w:t>
      </w:r>
      <w:r>
        <w:rPr>
          <w:rFonts w:hint="eastAsia" w:ascii="仿宋" w:hAnsi="仿宋" w:eastAsia="仿宋" w:cs="仿宋"/>
          <w:sz w:val="32"/>
          <w:szCs w:val="32"/>
        </w:rPr>
        <w:t>月 参加</w:t>
      </w:r>
      <w:r>
        <w:rPr>
          <w:rFonts w:hint="eastAsia" w:ascii="仿宋" w:hAnsi="仿宋" w:eastAsia="仿宋" w:cs="仿宋"/>
          <w:sz w:val="32"/>
          <w:szCs w:val="32"/>
          <w:lang w:val="en-US" w:eastAsia="zh-CN"/>
        </w:rPr>
        <w:t>三亚市社会工作协会和深圳经济特区社会工作学院联合承办的“2022年海南省三亚市社工督导人员继续教育”</w:t>
      </w:r>
      <w:r>
        <w:rPr>
          <w:rFonts w:hint="eastAsia" w:ascii="仿宋" w:hAnsi="仿宋" w:eastAsia="仿宋" w:cs="仿宋"/>
          <w:sz w:val="32"/>
          <w:szCs w:val="32"/>
        </w:rPr>
        <w:t>培训</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完成24课时课程学习圆满结业。</w:t>
      </w:r>
    </w:p>
    <w:p w14:paraId="2C88A37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（二）公开出版学术著作或论文项目</w:t>
      </w:r>
    </w:p>
    <w:p w14:paraId="26F7E03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自从业以来，发表论文9篇，其中核心论文6篇，以第一作者发表的核心论文4篇。</w:t>
      </w:r>
    </w:p>
    <w:tbl>
      <w:tblPr>
        <w:tblStyle w:val="4"/>
        <w:tblW w:w="10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420"/>
        <w:gridCol w:w="1943"/>
        <w:gridCol w:w="1042"/>
        <w:gridCol w:w="1300"/>
        <w:gridCol w:w="786"/>
        <w:gridCol w:w="1873"/>
      </w:tblGrid>
      <w:tr w14:paraId="5D06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426" w:type="dxa"/>
            <w:noWrap w:val="0"/>
            <w:vAlign w:val="top"/>
          </w:tcPr>
          <w:p w14:paraId="029BEEEF">
            <w:pPr>
              <w:jc w:val="center"/>
              <w:rPr>
                <w:rFonts w:hint="eastAsia" w:ascii="仿宋" w:hAnsi="仿宋" w:eastAsia="仿宋" w:cs="仿宋"/>
              </w:rPr>
            </w:pPr>
            <w:r>
              <w:rPr>
                <w:rFonts w:hint="eastAsia" w:ascii="仿宋" w:hAnsi="仿宋" w:eastAsia="仿宋" w:cs="仿宋"/>
              </w:rPr>
              <w:t>序号</w:t>
            </w:r>
          </w:p>
        </w:tc>
        <w:tc>
          <w:tcPr>
            <w:tcW w:w="3420" w:type="dxa"/>
            <w:noWrap w:val="0"/>
            <w:vAlign w:val="center"/>
          </w:tcPr>
          <w:p w14:paraId="034D0892">
            <w:pPr>
              <w:jc w:val="center"/>
              <w:rPr>
                <w:rFonts w:hint="eastAsia" w:ascii="仿宋" w:hAnsi="仿宋" w:eastAsia="仿宋" w:cs="仿宋"/>
              </w:rPr>
            </w:pPr>
            <w:r>
              <w:rPr>
                <w:rFonts w:hint="eastAsia" w:ascii="仿宋" w:hAnsi="仿宋" w:eastAsia="仿宋" w:cs="仿宋"/>
              </w:rPr>
              <w:t>论文题目</w:t>
            </w:r>
          </w:p>
        </w:tc>
        <w:tc>
          <w:tcPr>
            <w:tcW w:w="1943" w:type="dxa"/>
            <w:noWrap w:val="0"/>
            <w:vAlign w:val="center"/>
          </w:tcPr>
          <w:p w14:paraId="2AD63BDC">
            <w:pPr>
              <w:jc w:val="center"/>
              <w:rPr>
                <w:rFonts w:hint="eastAsia" w:ascii="仿宋" w:hAnsi="仿宋" w:eastAsia="仿宋" w:cs="仿宋"/>
              </w:rPr>
            </w:pPr>
            <w:r>
              <w:rPr>
                <w:rFonts w:hint="eastAsia" w:ascii="仿宋" w:hAnsi="仿宋" w:eastAsia="仿宋" w:cs="仿宋"/>
              </w:rPr>
              <w:t>发表刊物</w:t>
            </w:r>
          </w:p>
        </w:tc>
        <w:tc>
          <w:tcPr>
            <w:tcW w:w="1042" w:type="dxa"/>
            <w:noWrap w:val="0"/>
            <w:vAlign w:val="center"/>
          </w:tcPr>
          <w:p w14:paraId="415E42DC">
            <w:pPr>
              <w:jc w:val="center"/>
              <w:rPr>
                <w:rFonts w:hint="eastAsia" w:ascii="仿宋" w:hAnsi="仿宋" w:eastAsia="仿宋" w:cs="仿宋"/>
              </w:rPr>
            </w:pPr>
            <w:r>
              <w:rPr>
                <w:rFonts w:hint="eastAsia" w:ascii="仿宋" w:hAnsi="仿宋" w:eastAsia="仿宋" w:cs="仿宋"/>
              </w:rPr>
              <w:t>刊物等级</w:t>
            </w:r>
          </w:p>
        </w:tc>
        <w:tc>
          <w:tcPr>
            <w:tcW w:w="1300" w:type="dxa"/>
            <w:noWrap w:val="0"/>
            <w:vAlign w:val="center"/>
          </w:tcPr>
          <w:p w14:paraId="556AAF92">
            <w:pPr>
              <w:jc w:val="center"/>
              <w:rPr>
                <w:rFonts w:hint="eastAsia" w:ascii="仿宋" w:hAnsi="仿宋" w:eastAsia="仿宋" w:cs="仿宋"/>
              </w:rPr>
            </w:pPr>
            <w:r>
              <w:rPr>
                <w:rFonts w:hint="eastAsia" w:ascii="仿宋" w:hAnsi="仿宋" w:eastAsia="仿宋" w:cs="仿宋"/>
              </w:rPr>
              <w:t>发表</w:t>
            </w:r>
          </w:p>
          <w:p w14:paraId="58B62113">
            <w:pPr>
              <w:jc w:val="center"/>
              <w:rPr>
                <w:rFonts w:hint="eastAsia" w:ascii="仿宋" w:hAnsi="仿宋" w:eastAsia="仿宋" w:cs="仿宋"/>
              </w:rPr>
            </w:pPr>
            <w:r>
              <w:rPr>
                <w:rFonts w:hint="eastAsia" w:ascii="仿宋" w:hAnsi="仿宋" w:eastAsia="仿宋" w:cs="仿宋"/>
              </w:rPr>
              <w:t>时间</w:t>
            </w:r>
          </w:p>
        </w:tc>
        <w:tc>
          <w:tcPr>
            <w:tcW w:w="786" w:type="dxa"/>
            <w:noWrap w:val="0"/>
            <w:vAlign w:val="top"/>
          </w:tcPr>
          <w:p w14:paraId="0269F493">
            <w:pPr>
              <w:jc w:val="center"/>
              <w:rPr>
                <w:rFonts w:hint="eastAsia" w:ascii="仿宋" w:hAnsi="仿宋" w:eastAsia="仿宋" w:cs="仿宋"/>
              </w:rPr>
            </w:pPr>
            <w:r>
              <w:rPr>
                <w:rFonts w:hint="eastAsia" w:ascii="仿宋" w:hAnsi="仿宋" w:eastAsia="仿宋" w:cs="仿宋"/>
              </w:rPr>
              <w:t>作者排序</w:t>
            </w:r>
          </w:p>
        </w:tc>
        <w:tc>
          <w:tcPr>
            <w:tcW w:w="1873" w:type="dxa"/>
            <w:noWrap w:val="0"/>
            <w:vAlign w:val="center"/>
          </w:tcPr>
          <w:p w14:paraId="348FB01D">
            <w:pPr>
              <w:jc w:val="center"/>
              <w:rPr>
                <w:rFonts w:hint="eastAsia" w:ascii="仿宋" w:hAnsi="仿宋" w:eastAsia="仿宋" w:cs="仿宋"/>
              </w:rPr>
            </w:pPr>
            <w:r>
              <w:rPr>
                <w:rFonts w:hint="eastAsia" w:ascii="仿宋" w:hAnsi="仿宋" w:eastAsia="仿宋" w:cs="仿宋"/>
              </w:rPr>
              <w:t>检索方式</w:t>
            </w:r>
          </w:p>
        </w:tc>
      </w:tr>
      <w:tr w14:paraId="0624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26" w:type="dxa"/>
            <w:noWrap w:val="0"/>
            <w:vAlign w:val="center"/>
          </w:tcPr>
          <w:p w14:paraId="32CED219">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3420" w:type="dxa"/>
            <w:noWrap w:val="0"/>
            <w:vAlign w:val="center"/>
          </w:tcPr>
          <w:p w14:paraId="4E925016">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iCs w:val="0"/>
                <w:color w:val="000000"/>
                <w:kern w:val="0"/>
                <w:sz w:val="22"/>
                <w:szCs w:val="22"/>
                <w:u w:val="none"/>
                <w:lang w:val="en-US" w:eastAsia="zh-CN" w:bidi="ar"/>
              </w:rPr>
              <w:t>Construction of Self-Help and Mutual Assistance System for</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Precision Poverty Alleviation from the Perspective of Social</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Work——Research and Research on Precision Poverty Alleviation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Based on Hainan</w:t>
            </w:r>
          </w:p>
        </w:tc>
        <w:tc>
          <w:tcPr>
            <w:tcW w:w="1943" w:type="dxa"/>
            <w:noWrap w:val="0"/>
            <w:vAlign w:val="center"/>
          </w:tcPr>
          <w:p w14:paraId="791B7BC6">
            <w:pPr>
              <w:jc w:val="center"/>
              <w:rPr>
                <w:rFonts w:hint="eastAsia" w:ascii="仿宋" w:hAnsi="仿宋" w:eastAsia="仿宋" w:cs="仿宋"/>
                <w:kern w:val="2"/>
                <w:sz w:val="18"/>
                <w:szCs w:val="18"/>
                <w:lang w:val="en-US" w:eastAsia="zh-CN" w:bidi="ar-SA"/>
              </w:rPr>
            </w:pPr>
            <w:r>
              <w:rPr>
                <w:rFonts w:hint="eastAsia" w:ascii="仿宋" w:hAnsi="仿宋" w:eastAsia="仿宋" w:cs="仿宋"/>
                <w:i w:val="0"/>
                <w:iCs w:val="0"/>
                <w:color w:val="000000"/>
                <w:kern w:val="0"/>
                <w:sz w:val="22"/>
                <w:szCs w:val="22"/>
                <w:u w:val="none"/>
                <w:lang w:val="en-US" w:eastAsia="zh-CN" w:bidi="ar"/>
              </w:rPr>
              <w:t>2021 - 2021 2nd Asia-Pacific Conference on lmage Processing, Electronics and Computers</w:t>
            </w:r>
          </w:p>
        </w:tc>
        <w:tc>
          <w:tcPr>
            <w:tcW w:w="1042" w:type="dxa"/>
            <w:noWrap w:val="0"/>
            <w:vAlign w:val="center"/>
          </w:tcPr>
          <w:p w14:paraId="5DDB5C76">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57CEB70F">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2021年4月</w:t>
            </w:r>
          </w:p>
        </w:tc>
        <w:tc>
          <w:tcPr>
            <w:tcW w:w="786" w:type="dxa"/>
            <w:noWrap w:val="0"/>
            <w:vAlign w:val="center"/>
          </w:tcPr>
          <w:p w14:paraId="77674728">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6CEBD72E">
            <w:pPr>
              <w:jc w:val="center"/>
              <w:rPr>
                <w:rFonts w:hint="eastAsia" w:ascii="仿宋" w:hAnsi="仿宋" w:eastAsia="仿宋" w:cs="仿宋"/>
                <w:sz w:val="18"/>
                <w:szCs w:val="18"/>
              </w:rPr>
            </w:pPr>
            <w:r>
              <w:rPr>
                <w:rFonts w:hint="eastAsia" w:ascii="仿宋" w:hAnsi="仿宋" w:eastAsia="仿宋" w:cs="仿宋"/>
                <w:sz w:val="18"/>
                <w:szCs w:val="18"/>
                <w:lang w:val="en-US" w:eastAsia="zh-CN"/>
              </w:rPr>
              <w:t>EI 美国《工程索引》</w:t>
            </w:r>
          </w:p>
        </w:tc>
      </w:tr>
      <w:tr w14:paraId="42B1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426" w:type="dxa"/>
            <w:noWrap w:val="0"/>
            <w:vAlign w:val="center"/>
          </w:tcPr>
          <w:p w14:paraId="49B41B46">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3420" w:type="dxa"/>
            <w:noWrap w:val="0"/>
            <w:vAlign w:val="center"/>
          </w:tcPr>
          <w:p w14:paraId="3E70B63B">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iCs w:val="0"/>
                <w:color w:val="000000"/>
                <w:kern w:val="0"/>
                <w:sz w:val="22"/>
                <w:szCs w:val="22"/>
                <w:u w:val="none"/>
                <w:lang w:val="en-US" w:eastAsia="zh-CN" w:bidi="ar"/>
              </w:rPr>
              <w:t>Big Data and Tourism Competitiveness Evaluation in the New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Media Environment</w:t>
            </w:r>
          </w:p>
        </w:tc>
        <w:tc>
          <w:tcPr>
            <w:tcW w:w="1943" w:type="dxa"/>
            <w:noWrap w:val="0"/>
            <w:vAlign w:val="center"/>
          </w:tcPr>
          <w:p w14:paraId="48B8C6D6">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Mobile Information Systems</w:t>
            </w:r>
          </w:p>
        </w:tc>
        <w:tc>
          <w:tcPr>
            <w:tcW w:w="1042" w:type="dxa"/>
            <w:noWrap w:val="0"/>
            <w:vAlign w:val="center"/>
          </w:tcPr>
          <w:p w14:paraId="130730CF">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50C1DDF3">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2022年4月</w:t>
            </w:r>
          </w:p>
        </w:tc>
        <w:tc>
          <w:tcPr>
            <w:tcW w:w="786" w:type="dxa"/>
            <w:noWrap w:val="0"/>
            <w:vAlign w:val="center"/>
          </w:tcPr>
          <w:p w14:paraId="4934277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156C716E">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highlight w:val="none"/>
                <w:u w:val="none"/>
                <w:lang w:val="en-US" w:eastAsia="zh-CN" w:bidi="ar"/>
              </w:rPr>
              <w:t>SCI-E美国《科学引文索引》</w:t>
            </w:r>
          </w:p>
        </w:tc>
      </w:tr>
      <w:tr w14:paraId="45A0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426" w:type="dxa"/>
            <w:noWrap w:val="0"/>
            <w:vAlign w:val="center"/>
          </w:tcPr>
          <w:p w14:paraId="06FBB5ED">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3420" w:type="dxa"/>
            <w:noWrap w:val="0"/>
            <w:vAlign w:val="center"/>
          </w:tcPr>
          <w:p w14:paraId="012695FB">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A Study of the Relationship of Family Functioning and Antisocial Behavior Among Adolescents </w:t>
            </w:r>
          </w:p>
        </w:tc>
        <w:tc>
          <w:tcPr>
            <w:tcW w:w="1943" w:type="dxa"/>
            <w:noWrap w:val="0"/>
            <w:vAlign w:val="center"/>
          </w:tcPr>
          <w:p w14:paraId="0416F242">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Journal of the Society for Social Work and Research</w:t>
            </w:r>
          </w:p>
        </w:tc>
        <w:tc>
          <w:tcPr>
            <w:tcW w:w="1042" w:type="dxa"/>
            <w:noWrap w:val="0"/>
            <w:vAlign w:val="center"/>
          </w:tcPr>
          <w:p w14:paraId="31E8DA1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214EA04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2023年6月</w:t>
            </w:r>
          </w:p>
        </w:tc>
        <w:tc>
          <w:tcPr>
            <w:tcW w:w="786" w:type="dxa"/>
            <w:noWrap w:val="0"/>
            <w:vAlign w:val="center"/>
          </w:tcPr>
          <w:p w14:paraId="4E87ED08">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16D7507E">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highlight w:val="none"/>
                <w:u w:val="none"/>
                <w:lang w:val="en-US" w:eastAsia="zh-CN" w:bidi="ar"/>
              </w:rPr>
              <w:t>期刊网址检索：</w:t>
            </w:r>
            <w:r>
              <w:rPr>
                <w:rFonts w:hint="eastAsia" w:ascii="仿宋" w:hAnsi="仿宋" w:eastAsia="仿宋" w:cs="仿宋"/>
                <w:color w:val="000000"/>
                <w:sz w:val="20"/>
                <w:szCs w:val="22"/>
                <w:highlight w:val="none"/>
              </w:rPr>
              <w:t>https://www.journals.uchicago.edu/doi/abs/10.1086/726229?journalCode=jsswr</w:t>
            </w:r>
          </w:p>
        </w:tc>
      </w:tr>
      <w:tr w14:paraId="06B6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426" w:type="dxa"/>
            <w:noWrap w:val="0"/>
            <w:vAlign w:val="center"/>
          </w:tcPr>
          <w:p w14:paraId="4F5CB261">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3420" w:type="dxa"/>
            <w:noWrap w:val="0"/>
            <w:vAlign w:val="center"/>
          </w:tcPr>
          <w:p w14:paraId="22643FF0">
            <w:pPr>
              <w:bidi w:val="0"/>
              <w:jc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sz w:val="22"/>
                <w:szCs w:val="22"/>
              </w:rPr>
              <w:t>Research on Corporate Social Work</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Intervention through Integrated Media in the Age of Big Data</w:t>
            </w:r>
          </w:p>
        </w:tc>
        <w:tc>
          <w:tcPr>
            <w:tcW w:w="1943" w:type="dxa"/>
            <w:noWrap w:val="0"/>
            <w:vAlign w:val="center"/>
          </w:tcPr>
          <w:p w14:paraId="59EBBF50">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Applied Mathematics and Nonlinear Sciences</w:t>
            </w:r>
          </w:p>
        </w:tc>
        <w:tc>
          <w:tcPr>
            <w:tcW w:w="1042" w:type="dxa"/>
            <w:noWrap w:val="0"/>
            <w:vAlign w:val="center"/>
          </w:tcPr>
          <w:p w14:paraId="66FCE55F">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6EAACA4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2023年12月</w:t>
            </w:r>
          </w:p>
        </w:tc>
        <w:tc>
          <w:tcPr>
            <w:tcW w:w="786" w:type="dxa"/>
            <w:noWrap w:val="0"/>
            <w:vAlign w:val="center"/>
          </w:tcPr>
          <w:p w14:paraId="4034904B">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3DA866C1">
            <w:pPr>
              <w:jc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sz w:val="22"/>
                <w:szCs w:val="22"/>
                <w:lang w:val="en-US" w:eastAsia="zh-CN"/>
              </w:rPr>
              <w:t>EI</w:t>
            </w:r>
            <w:r>
              <w:rPr>
                <w:rFonts w:hint="eastAsia" w:ascii="仿宋" w:hAnsi="仿宋" w:eastAsia="仿宋" w:cs="仿宋"/>
                <w:sz w:val="22"/>
                <w:szCs w:val="22"/>
              </w:rPr>
              <w:t>检索</w:t>
            </w:r>
          </w:p>
        </w:tc>
      </w:tr>
      <w:tr w14:paraId="5E27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426" w:type="dxa"/>
            <w:noWrap w:val="0"/>
            <w:vAlign w:val="center"/>
          </w:tcPr>
          <w:p w14:paraId="38C00F73">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3420" w:type="dxa"/>
            <w:noWrap w:val="0"/>
            <w:vAlign w:val="center"/>
          </w:tcPr>
          <w:p w14:paraId="6990A2C8">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22"/>
                <w:szCs w:val="22"/>
              </w:rPr>
              <w:t>Path and Model Innovation of Social Work Driving Effective Rural Social Governance in the Internet Era</w:t>
            </w:r>
          </w:p>
        </w:tc>
        <w:tc>
          <w:tcPr>
            <w:tcW w:w="1943" w:type="dxa"/>
            <w:noWrap w:val="0"/>
            <w:vAlign w:val="center"/>
          </w:tcPr>
          <w:p w14:paraId="66D974CF">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Applied Mathematics and Nonlinear Sciences</w:t>
            </w:r>
          </w:p>
        </w:tc>
        <w:tc>
          <w:tcPr>
            <w:tcW w:w="1042" w:type="dxa"/>
            <w:noWrap w:val="0"/>
            <w:vAlign w:val="center"/>
          </w:tcPr>
          <w:p w14:paraId="31E406E6">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5D1F65A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2024年1月</w:t>
            </w:r>
          </w:p>
        </w:tc>
        <w:tc>
          <w:tcPr>
            <w:tcW w:w="786" w:type="dxa"/>
            <w:noWrap w:val="0"/>
            <w:vAlign w:val="center"/>
          </w:tcPr>
          <w:p w14:paraId="62977B24">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第二</w:t>
            </w:r>
          </w:p>
        </w:tc>
        <w:tc>
          <w:tcPr>
            <w:tcW w:w="1873" w:type="dxa"/>
            <w:noWrap w:val="0"/>
            <w:vAlign w:val="center"/>
          </w:tcPr>
          <w:p w14:paraId="676B958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知网检索</w:t>
            </w:r>
          </w:p>
        </w:tc>
      </w:tr>
      <w:tr w14:paraId="6737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426" w:type="dxa"/>
            <w:noWrap w:val="0"/>
            <w:vAlign w:val="center"/>
          </w:tcPr>
          <w:p w14:paraId="4402AFF5">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3420" w:type="dxa"/>
            <w:noWrap w:val="0"/>
            <w:vAlign w:val="center"/>
          </w:tcPr>
          <w:p w14:paraId="43C9AC4F">
            <w:pPr>
              <w:bidi w:val="0"/>
              <w:jc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教育精准扶贫的现实困境及应对策略</w:t>
            </w:r>
          </w:p>
        </w:tc>
        <w:tc>
          <w:tcPr>
            <w:tcW w:w="1943" w:type="dxa"/>
            <w:noWrap w:val="0"/>
            <w:vAlign w:val="center"/>
          </w:tcPr>
          <w:p w14:paraId="4F375F2E">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教学与管理</w:t>
            </w:r>
          </w:p>
        </w:tc>
        <w:tc>
          <w:tcPr>
            <w:tcW w:w="1042" w:type="dxa"/>
            <w:noWrap w:val="0"/>
            <w:vAlign w:val="center"/>
          </w:tcPr>
          <w:p w14:paraId="74C01B39">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核心期刊</w:t>
            </w:r>
          </w:p>
        </w:tc>
        <w:tc>
          <w:tcPr>
            <w:tcW w:w="1300" w:type="dxa"/>
            <w:noWrap w:val="0"/>
            <w:vAlign w:val="center"/>
          </w:tcPr>
          <w:p w14:paraId="4292BDB1">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2020年3月</w:t>
            </w:r>
          </w:p>
        </w:tc>
        <w:tc>
          <w:tcPr>
            <w:tcW w:w="786" w:type="dxa"/>
            <w:noWrap w:val="0"/>
            <w:vAlign w:val="center"/>
          </w:tcPr>
          <w:p w14:paraId="42732106">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第二</w:t>
            </w:r>
          </w:p>
        </w:tc>
        <w:tc>
          <w:tcPr>
            <w:tcW w:w="1873" w:type="dxa"/>
            <w:noWrap w:val="0"/>
            <w:vAlign w:val="center"/>
          </w:tcPr>
          <w:p w14:paraId="687E6479">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知网检索</w:t>
            </w:r>
          </w:p>
        </w:tc>
      </w:tr>
      <w:tr w14:paraId="7EEC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426" w:type="dxa"/>
            <w:noWrap w:val="0"/>
            <w:vAlign w:val="center"/>
          </w:tcPr>
          <w:p w14:paraId="5D0CBB44">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3420" w:type="dxa"/>
            <w:noWrap w:val="0"/>
            <w:vAlign w:val="center"/>
          </w:tcPr>
          <w:p w14:paraId="6E49AADB">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iCs w:val="0"/>
                <w:color w:val="000000"/>
                <w:kern w:val="0"/>
                <w:sz w:val="22"/>
                <w:szCs w:val="22"/>
                <w:u w:val="none"/>
                <w:lang w:val="en-US" w:eastAsia="zh-CN" w:bidi="ar"/>
              </w:rPr>
              <w:t>社会工作介入海南省美丽乡村治理的路径探索</w:t>
            </w:r>
          </w:p>
        </w:tc>
        <w:tc>
          <w:tcPr>
            <w:tcW w:w="1943" w:type="dxa"/>
            <w:noWrap w:val="0"/>
            <w:vAlign w:val="center"/>
          </w:tcPr>
          <w:p w14:paraId="391E788B">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农场经济管理</w:t>
            </w:r>
          </w:p>
        </w:tc>
        <w:tc>
          <w:tcPr>
            <w:tcW w:w="1042" w:type="dxa"/>
            <w:noWrap w:val="0"/>
            <w:vAlign w:val="center"/>
          </w:tcPr>
          <w:p w14:paraId="2431160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非核心期刊</w:t>
            </w:r>
          </w:p>
        </w:tc>
        <w:tc>
          <w:tcPr>
            <w:tcW w:w="1300" w:type="dxa"/>
            <w:noWrap w:val="0"/>
            <w:vAlign w:val="center"/>
          </w:tcPr>
          <w:p w14:paraId="6899AE1E">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2020年3月</w:t>
            </w:r>
          </w:p>
        </w:tc>
        <w:tc>
          <w:tcPr>
            <w:tcW w:w="786" w:type="dxa"/>
            <w:noWrap w:val="0"/>
            <w:vAlign w:val="center"/>
          </w:tcPr>
          <w:p w14:paraId="52874FBA">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7542F85E">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知网检索</w:t>
            </w:r>
          </w:p>
        </w:tc>
      </w:tr>
      <w:tr w14:paraId="0E0B1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426" w:type="dxa"/>
            <w:noWrap w:val="0"/>
            <w:vAlign w:val="center"/>
          </w:tcPr>
          <w:p w14:paraId="3420EAE2">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3420" w:type="dxa"/>
            <w:noWrap w:val="0"/>
            <w:vAlign w:val="center"/>
          </w:tcPr>
          <w:p w14:paraId="45FD18D9">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iCs w:val="0"/>
                <w:color w:val="000000"/>
                <w:kern w:val="0"/>
                <w:sz w:val="22"/>
                <w:szCs w:val="22"/>
                <w:u w:val="none"/>
                <w:lang w:val="en-US" w:eastAsia="zh-CN" w:bidi="ar"/>
              </w:rPr>
              <w:t>基于海南乡村扶贫治理的政府、企业、社会组织互动战略研究</w:t>
            </w:r>
          </w:p>
        </w:tc>
        <w:tc>
          <w:tcPr>
            <w:tcW w:w="1943" w:type="dxa"/>
            <w:noWrap w:val="0"/>
            <w:vAlign w:val="center"/>
          </w:tcPr>
          <w:p w14:paraId="1D94A39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企业改革与管理</w:t>
            </w:r>
          </w:p>
        </w:tc>
        <w:tc>
          <w:tcPr>
            <w:tcW w:w="1042" w:type="dxa"/>
            <w:noWrap w:val="0"/>
            <w:vAlign w:val="center"/>
          </w:tcPr>
          <w:p w14:paraId="5AF775E6">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非核心期刊</w:t>
            </w:r>
          </w:p>
        </w:tc>
        <w:tc>
          <w:tcPr>
            <w:tcW w:w="1300" w:type="dxa"/>
            <w:noWrap w:val="0"/>
            <w:vAlign w:val="center"/>
          </w:tcPr>
          <w:p w14:paraId="34181DA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2020年3月</w:t>
            </w:r>
          </w:p>
        </w:tc>
        <w:tc>
          <w:tcPr>
            <w:tcW w:w="786" w:type="dxa"/>
            <w:noWrap w:val="0"/>
            <w:vAlign w:val="center"/>
          </w:tcPr>
          <w:p w14:paraId="32407410">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center"/>
          </w:tcPr>
          <w:p w14:paraId="69559244">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知网检索</w:t>
            </w:r>
          </w:p>
        </w:tc>
      </w:tr>
      <w:tr w14:paraId="3AA3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426" w:type="dxa"/>
            <w:noWrap w:val="0"/>
            <w:vAlign w:val="center"/>
          </w:tcPr>
          <w:p w14:paraId="7B6C69F7">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w:t>
            </w:r>
          </w:p>
        </w:tc>
        <w:tc>
          <w:tcPr>
            <w:tcW w:w="3420" w:type="dxa"/>
            <w:noWrap w:val="0"/>
            <w:vAlign w:val="center"/>
          </w:tcPr>
          <w:p w14:paraId="005476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50" w:lineRule="atLeast"/>
              <w:ind w:left="0" w:leftChars="0" w:right="0" w:rightChars="0" w:firstLine="0" w:firstLineChars="0"/>
              <w:jc w:val="center"/>
              <w:textAlignment w:val="center"/>
              <w:rPr>
                <w:rFonts w:hint="eastAsia" w:ascii="仿宋" w:hAnsi="仿宋" w:eastAsia="仿宋" w:cs="仿宋"/>
                <w:b/>
                <w:bCs/>
                <w:kern w:val="2"/>
                <w:sz w:val="18"/>
                <w:szCs w:val="18"/>
                <w:lang w:val="en-US" w:eastAsia="zh-CN" w:bidi="ar-SA"/>
              </w:rPr>
            </w:pPr>
            <w:r>
              <w:rPr>
                <w:rFonts w:hint="eastAsia" w:ascii="仿宋" w:hAnsi="仿宋" w:eastAsia="仿宋" w:cs="仿宋"/>
                <w:b w:val="0"/>
                <w:bCs w:val="0"/>
                <w:i w:val="0"/>
                <w:iCs w:val="0"/>
                <w:caps w:val="0"/>
                <w:color w:val="333333"/>
                <w:spacing w:val="0"/>
                <w:sz w:val="22"/>
                <w:szCs w:val="22"/>
                <w:shd w:val="clear" w:color="auto" w:fill="FFFFFF"/>
              </w:rPr>
              <w:t>海南省精准扶贫回访调查研究——以Q市为例</w:t>
            </w:r>
          </w:p>
        </w:tc>
        <w:tc>
          <w:tcPr>
            <w:tcW w:w="1943" w:type="dxa"/>
            <w:noWrap w:val="0"/>
            <w:vAlign w:val="center"/>
          </w:tcPr>
          <w:p w14:paraId="4306898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法治与社会</w:t>
            </w:r>
          </w:p>
        </w:tc>
        <w:tc>
          <w:tcPr>
            <w:tcW w:w="1042" w:type="dxa"/>
            <w:noWrap w:val="0"/>
            <w:vAlign w:val="center"/>
          </w:tcPr>
          <w:p w14:paraId="36C7EC8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非核心期刊</w:t>
            </w:r>
          </w:p>
        </w:tc>
        <w:tc>
          <w:tcPr>
            <w:tcW w:w="1300" w:type="dxa"/>
            <w:noWrap w:val="0"/>
            <w:vAlign w:val="center"/>
          </w:tcPr>
          <w:p w14:paraId="7562D153">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2018年9月</w:t>
            </w:r>
          </w:p>
        </w:tc>
        <w:tc>
          <w:tcPr>
            <w:tcW w:w="786" w:type="dxa"/>
            <w:noWrap w:val="0"/>
            <w:vAlign w:val="center"/>
          </w:tcPr>
          <w:p w14:paraId="0DFB17ED">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第一</w:t>
            </w:r>
          </w:p>
        </w:tc>
        <w:tc>
          <w:tcPr>
            <w:tcW w:w="1873" w:type="dxa"/>
            <w:noWrap w:val="0"/>
            <w:vAlign w:val="top"/>
          </w:tcPr>
          <w:p w14:paraId="2CBF2F34">
            <w:pPr>
              <w:jc w:val="center"/>
              <w:rPr>
                <w:rFonts w:hint="eastAsia" w:ascii="仿宋" w:hAnsi="仿宋" w:eastAsia="仿宋" w:cs="仿宋"/>
                <w:sz w:val="18"/>
                <w:szCs w:val="18"/>
              </w:rPr>
            </w:pPr>
            <w:r>
              <w:rPr>
                <w:rFonts w:hint="eastAsia" w:ascii="仿宋" w:hAnsi="仿宋" w:eastAsia="仿宋" w:cs="仿宋"/>
                <w:i w:val="0"/>
                <w:iCs w:val="0"/>
                <w:color w:val="000000"/>
                <w:kern w:val="0"/>
                <w:sz w:val="22"/>
                <w:szCs w:val="22"/>
                <w:u w:val="none"/>
                <w:lang w:val="en-US" w:eastAsia="zh-CN" w:bidi="ar"/>
              </w:rPr>
              <w:t>知网检索</w:t>
            </w:r>
          </w:p>
        </w:tc>
      </w:tr>
    </w:tbl>
    <w:p w14:paraId="55D9943F">
      <w:pPr>
        <w:keepNext w:val="0"/>
        <w:keepLines w:val="0"/>
        <w:pageBreakBefore w:val="0"/>
        <w:kinsoku/>
        <w:wordWrap/>
        <w:overflowPunct/>
        <w:topLinePunct w:val="0"/>
        <w:autoSpaceDE/>
        <w:autoSpaceDN/>
        <w:bidi w:val="0"/>
        <w:adjustRightInd/>
        <w:snapToGrid/>
        <w:spacing w:line="440" w:lineRule="exact"/>
        <w:ind w:left="640" w:leftChars="305"/>
        <w:textAlignment w:val="auto"/>
        <w:rPr>
          <w:rFonts w:hint="eastAsia" w:ascii="仿宋" w:hAnsi="仿宋" w:eastAsia="仿宋" w:cs="仿宋"/>
          <w:sz w:val="32"/>
          <w:szCs w:val="32"/>
        </w:rPr>
      </w:pPr>
      <w:r>
        <w:rPr>
          <w:rFonts w:hint="eastAsia" w:ascii="仿宋" w:hAnsi="仿宋" w:eastAsia="仿宋" w:cs="仿宋"/>
          <w:sz w:val="32"/>
          <w:szCs w:val="32"/>
        </w:rPr>
        <w:t>（三）课堂教学、示范课公开课及其他示范培训活动项目</w:t>
      </w:r>
    </w:p>
    <w:p w14:paraId="2DBFAF51">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课堂教学上，注重课堂设计，在课堂中融入社会工作的方法，让理论知识更加通俗易懂，同时能够引发学生的思考。其次注重理论和实践的结合，社会工作的教学需要大量的实践和训练。因此在课堂教学生除了必要的案例分享外，还会运用不同的平台，对学生进行训练。</w:t>
      </w:r>
    </w:p>
    <w:p w14:paraId="27A08EAC">
      <w:pPr>
        <w:keepNext w:val="0"/>
        <w:keepLines w:val="0"/>
        <w:pageBreakBefore w:val="0"/>
        <w:kinsoku/>
        <w:wordWrap/>
        <w:overflowPunct/>
        <w:topLinePunct w:val="0"/>
        <w:autoSpaceDE/>
        <w:autoSpaceDN/>
        <w:bidi w:val="0"/>
        <w:adjustRightInd/>
        <w:snapToGrid/>
        <w:spacing w:line="440" w:lineRule="exact"/>
        <w:ind w:left="640" w:leftChars="305"/>
        <w:textAlignment w:val="auto"/>
        <w:rPr>
          <w:rFonts w:hint="eastAsia" w:ascii="仿宋" w:hAnsi="仿宋" w:eastAsia="仿宋" w:cs="仿宋"/>
          <w:sz w:val="32"/>
          <w:szCs w:val="32"/>
        </w:rPr>
      </w:pPr>
      <w:r>
        <w:rPr>
          <w:rFonts w:hint="eastAsia" w:ascii="仿宋" w:hAnsi="仿宋" w:eastAsia="仿宋" w:cs="仿宋"/>
          <w:sz w:val="32"/>
          <w:szCs w:val="32"/>
        </w:rPr>
        <w:t>（四）个人自述及其他项目</w:t>
      </w:r>
    </w:p>
    <w:p w14:paraId="775F166B">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为了进一步完善教学，提升自己教学能力和科研能力。2021年本人申请马来西亚理科大学就读社会工作福利方向博士。</w:t>
      </w:r>
    </w:p>
    <w:p w14:paraId="5F059895">
      <w:pPr>
        <w:keepNext w:val="0"/>
        <w:keepLines w:val="0"/>
        <w:pageBreakBefore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八、德育和班主任工作情况</w:t>
      </w:r>
    </w:p>
    <w:p w14:paraId="471540C8">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人从教以来，能够理解、关心、尊重每一位学生，在传播知识的同时，注重对学生道德的教育，鼓励学生积极向上，培养成为阳光、自信的大学生，让其拥有独立、健康、完善的人格。本人坚持理论联系实际，更新教育管理观念，用知识与智慧尽心尽力尽职履行本职工作。在学院担任班主任相关工作近</w:t>
      </w:r>
      <w:r>
        <w:rPr>
          <w:rFonts w:hint="eastAsia" w:ascii="仿宋" w:hAnsi="仿宋" w:eastAsia="仿宋" w:cs="仿宋"/>
          <w:sz w:val="32"/>
          <w:szCs w:val="32"/>
          <w:lang w:val="en-US" w:eastAsia="zh-CN"/>
        </w:rPr>
        <w:t>5</w:t>
      </w:r>
      <w:r>
        <w:rPr>
          <w:rFonts w:hint="eastAsia" w:ascii="仿宋" w:hAnsi="仿宋" w:eastAsia="仿宋" w:cs="仿宋"/>
          <w:sz w:val="32"/>
          <w:szCs w:val="32"/>
        </w:rPr>
        <w:t>年，相关工作受到好评。</w:t>
      </w:r>
    </w:p>
    <w:p w14:paraId="1866006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九、教学教研情况</w:t>
      </w:r>
    </w:p>
    <w:p w14:paraId="2CDCEE20">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近年来，</w:t>
      </w:r>
      <w:r>
        <w:rPr>
          <w:rFonts w:hint="eastAsia" w:ascii="仿宋" w:hAnsi="仿宋" w:eastAsia="仿宋" w:cs="仿宋"/>
          <w:sz w:val="32"/>
          <w:szCs w:val="32"/>
          <w:lang w:val="en-US" w:eastAsia="zh-CN"/>
        </w:rPr>
        <w:t>伴随国家对职业教育的新要求，</w:t>
      </w:r>
      <w:r>
        <w:rPr>
          <w:rFonts w:hint="eastAsia" w:ascii="仿宋" w:hAnsi="仿宋" w:eastAsia="仿宋" w:cs="仿宋"/>
          <w:sz w:val="32"/>
          <w:szCs w:val="32"/>
        </w:rPr>
        <w:t>本人在教学上进行了相应改革</w:t>
      </w:r>
      <w:r>
        <w:rPr>
          <w:rFonts w:hint="eastAsia" w:ascii="仿宋" w:hAnsi="仿宋" w:eastAsia="仿宋" w:cs="仿宋"/>
          <w:sz w:val="32"/>
          <w:szCs w:val="32"/>
          <w:lang w:val="en-US" w:eastAsia="zh-CN"/>
        </w:rPr>
        <w:t>使培养的学生能</w:t>
      </w:r>
      <w:r>
        <w:rPr>
          <w:rFonts w:hint="eastAsia" w:ascii="仿宋" w:hAnsi="仿宋" w:eastAsia="仿宋" w:cs="仿宋"/>
          <w:sz w:val="32"/>
          <w:szCs w:val="32"/>
        </w:rPr>
        <w:t>适应社会对</w:t>
      </w:r>
      <w:r>
        <w:rPr>
          <w:rFonts w:hint="eastAsia" w:ascii="仿宋" w:hAnsi="仿宋" w:eastAsia="仿宋" w:cs="仿宋"/>
          <w:sz w:val="32"/>
          <w:szCs w:val="32"/>
          <w:lang w:val="en-US" w:eastAsia="zh-CN"/>
        </w:rPr>
        <w:t>技术技能</w:t>
      </w:r>
      <w:r>
        <w:rPr>
          <w:rFonts w:hint="eastAsia" w:ascii="仿宋" w:hAnsi="仿宋" w:eastAsia="仿宋" w:cs="仿宋"/>
          <w:sz w:val="32"/>
          <w:szCs w:val="32"/>
        </w:rPr>
        <w:t>人才的需求</w:t>
      </w:r>
      <w:r>
        <w:rPr>
          <w:rFonts w:hint="eastAsia" w:ascii="仿宋" w:hAnsi="仿宋" w:eastAsia="仿宋" w:cs="仿宋"/>
          <w:sz w:val="32"/>
          <w:szCs w:val="32"/>
          <w:lang w:eastAsia="zh-CN"/>
        </w:rPr>
        <w:t>。</w:t>
      </w:r>
      <w:r>
        <w:rPr>
          <w:rFonts w:hint="eastAsia" w:ascii="仿宋" w:hAnsi="仿宋" w:eastAsia="仿宋" w:cs="仿宋"/>
          <w:sz w:val="32"/>
          <w:szCs w:val="32"/>
        </w:rPr>
        <w:t>在教学工作中本人主要讲授</w:t>
      </w:r>
      <w:r>
        <w:rPr>
          <w:rFonts w:hint="eastAsia" w:ascii="仿宋" w:hAnsi="仿宋" w:eastAsia="仿宋" w:cs="仿宋"/>
          <w:sz w:val="32"/>
          <w:szCs w:val="32"/>
          <w:lang w:val="en-US" w:eastAsia="zh-CN"/>
        </w:rPr>
        <w:t>社会研究方法、儿童青少年社会工作、服务项目设计预评估、社会工作实务、心理健康教育</w:t>
      </w:r>
      <w:r>
        <w:rPr>
          <w:rFonts w:hint="eastAsia" w:ascii="仿宋" w:hAnsi="仿宋" w:eastAsia="仿宋" w:cs="仿宋"/>
          <w:sz w:val="32"/>
          <w:szCs w:val="32"/>
        </w:rPr>
        <w:t>等课程，近</w:t>
      </w:r>
      <w:r>
        <w:rPr>
          <w:rFonts w:hint="eastAsia" w:ascii="仿宋" w:hAnsi="仿宋" w:eastAsia="仿宋" w:cs="仿宋"/>
          <w:sz w:val="32"/>
          <w:szCs w:val="32"/>
          <w:lang w:val="en-US" w:eastAsia="zh-CN"/>
        </w:rPr>
        <w:t>五</w:t>
      </w:r>
      <w:r>
        <w:rPr>
          <w:rFonts w:hint="eastAsia" w:ascii="仿宋" w:hAnsi="仿宋" w:eastAsia="仿宋" w:cs="仿宋"/>
          <w:sz w:val="32"/>
          <w:szCs w:val="32"/>
        </w:rPr>
        <w:t>年来本人</w:t>
      </w:r>
      <w:r>
        <w:rPr>
          <w:rFonts w:hint="eastAsia" w:ascii="仿宋" w:hAnsi="仿宋" w:eastAsia="仿宋" w:cs="仿宋"/>
          <w:sz w:val="32"/>
          <w:szCs w:val="32"/>
          <w:lang w:val="en-US" w:eastAsia="zh-CN"/>
        </w:rPr>
        <w:t>年均教学工作量均超额完成。</w:t>
      </w:r>
    </w:p>
    <w:p w14:paraId="3607E25A">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在</w:t>
      </w:r>
      <w:r>
        <w:rPr>
          <w:rFonts w:hint="eastAsia" w:ascii="仿宋" w:hAnsi="仿宋" w:eastAsia="仿宋" w:cs="仿宋"/>
          <w:sz w:val="32"/>
          <w:szCs w:val="32"/>
          <w:lang w:val="en-US" w:eastAsia="zh-CN"/>
        </w:rPr>
        <w:t>科研中，努力申报各类项目，其中主持1个省级课题，参与1项省级课题。其中作为第一作者出版1部专著。发表文章13篇，其中以第一作者发表的核心共4篇，以第二作者发表的核心1篇。</w:t>
      </w:r>
    </w:p>
    <w:p w14:paraId="2F0B187B">
      <w:pPr>
        <w:keepNext w:val="0"/>
        <w:keepLines w:val="0"/>
        <w:pageBreakBefore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十、业绩情况</w:t>
      </w:r>
    </w:p>
    <w:p w14:paraId="2702878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自从</w:t>
      </w:r>
      <w:r>
        <w:rPr>
          <w:rFonts w:hint="eastAsia" w:ascii="仿宋" w:hAnsi="仿宋" w:eastAsia="仿宋" w:cs="仿宋"/>
          <w:sz w:val="32"/>
          <w:szCs w:val="32"/>
          <w:lang w:val="en-US" w:eastAsia="zh-CN"/>
        </w:rPr>
        <w:t>教以来</w:t>
      </w:r>
      <w:r>
        <w:rPr>
          <w:rFonts w:hint="eastAsia" w:ascii="仿宋" w:hAnsi="仿宋" w:eastAsia="仿宋" w:cs="仿宋"/>
          <w:sz w:val="32"/>
          <w:szCs w:val="32"/>
        </w:rPr>
        <w:t>，在教学上不断更新社会工作教学知识，在实践上从未脱离一线工作。工作以来，采用行动研究的方式，一边开展实践工作，一边开展研究，再将实践与研究相结合，转化为教学知识，通过实践案例以及实务理论运用，让学生能较快掌握相应的知识。目前培养了五届社会工作毕业生，培育8 届社会工作专业学生。其中论文指导毕业生41人，优秀毕业论文4篇，其中指导</w:t>
      </w:r>
      <w:r>
        <w:rPr>
          <w:rFonts w:hint="eastAsia" w:ascii="仿宋" w:hAnsi="仿宋" w:eastAsia="仿宋" w:cs="仿宋"/>
          <w:sz w:val="32"/>
          <w:szCs w:val="32"/>
          <w:lang w:val="en-US" w:eastAsia="zh-CN"/>
        </w:rPr>
        <w:t>4名</w:t>
      </w:r>
      <w:r>
        <w:rPr>
          <w:rFonts w:hint="eastAsia" w:ascii="仿宋" w:hAnsi="仿宋" w:eastAsia="仿宋" w:cs="仿宋"/>
          <w:sz w:val="32"/>
          <w:szCs w:val="32"/>
        </w:rPr>
        <w:t>学生论文</w:t>
      </w:r>
      <w:r>
        <w:rPr>
          <w:rFonts w:hint="eastAsia" w:ascii="仿宋" w:hAnsi="仿宋" w:eastAsia="仿宋" w:cs="仿宋"/>
          <w:sz w:val="32"/>
          <w:szCs w:val="32"/>
          <w:lang w:val="en-US" w:eastAsia="zh-CN"/>
        </w:rPr>
        <w:t>分别获得中国大学生论坛本科生组一、二、三等奖，研究生组三等奖</w:t>
      </w:r>
      <w:r>
        <w:rPr>
          <w:rFonts w:hint="eastAsia" w:ascii="仿宋" w:hAnsi="仿宋" w:eastAsia="仿宋" w:cs="仿宋"/>
          <w:sz w:val="32"/>
          <w:szCs w:val="32"/>
        </w:rPr>
        <w:t>。指导4名学生考取社会工作研究生，其中3名学生被录取。带领150余名社会工作专业学生参与社会工作服务项目及社会调研项目，促进和提升了社会工作专业学生的实务能力。在所指导的学生中，1名学生在三亚创立了社会组织孵化基地：1名学生在琼海市创立了首家社会工作机构。</w:t>
      </w:r>
      <w:r>
        <w:rPr>
          <w:rFonts w:hint="eastAsia" w:ascii="仿宋" w:hAnsi="仿宋" w:eastAsia="仿宋" w:cs="仿宋"/>
          <w:sz w:val="32"/>
          <w:szCs w:val="32"/>
          <w:lang w:val="en-US" w:eastAsia="zh-CN"/>
        </w:rPr>
        <w:t>2024年指导毕业论文获得优秀指导老师称号。</w:t>
      </w:r>
    </w:p>
    <w:p w14:paraId="4EAD9C7F">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从业期间，多次带领学生团队</w:t>
      </w:r>
      <w:r>
        <w:rPr>
          <w:rFonts w:hint="eastAsia" w:ascii="仿宋" w:hAnsi="仿宋" w:eastAsia="仿宋" w:cs="仿宋"/>
          <w:sz w:val="32"/>
          <w:szCs w:val="32"/>
        </w:rPr>
        <w:t>参与海口、琼海、三亚、儋州多地的社会工作服务活动。</w:t>
      </w:r>
      <w:r>
        <w:rPr>
          <w:rFonts w:hint="eastAsia" w:ascii="仿宋" w:hAnsi="仿宋" w:eastAsia="仿宋" w:cs="仿宋"/>
          <w:sz w:val="32"/>
          <w:szCs w:val="32"/>
          <w:lang w:val="en-US" w:eastAsia="zh-CN"/>
        </w:rPr>
        <w:t>扎根社区一线服务，服务“一老一小”，为困境群体提供专业的社会工作服务。</w:t>
      </w:r>
    </w:p>
    <w:p w14:paraId="15F59626">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目前所参与的服务项目以及督导项目共1</w:t>
      </w:r>
      <w:r>
        <w:rPr>
          <w:rFonts w:hint="eastAsia" w:ascii="仿宋" w:hAnsi="仿宋" w:eastAsia="仿宋" w:cs="仿宋"/>
          <w:sz w:val="32"/>
          <w:szCs w:val="32"/>
          <w:lang w:val="en-US" w:eastAsia="zh-CN"/>
        </w:rPr>
        <w:t>5</w:t>
      </w:r>
      <w:r>
        <w:rPr>
          <w:rFonts w:hint="eastAsia" w:ascii="仿宋" w:hAnsi="仿宋" w:eastAsia="仿宋" w:cs="仿宋"/>
          <w:sz w:val="32"/>
          <w:szCs w:val="32"/>
        </w:rPr>
        <w:t>项目，涉及</w:t>
      </w:r>
      <w:r>
        <w:rPr>
          <w:rFonts w:hint="eastAsia" w:ascii="仿宋" w:hAnsi="仿宋" w:eastAsia="仿宋" w:cs="仿宋"/>
          <w:sz w:val="32"/>
          <w:szCs w:val="32"/>
          <w:lang w:val="en-US" w:eastAsia="zh-CN"/>
        </w:rPr>
        <w:t>5个</w:t>
      </w:r>
      <w:r>
        <w:rPr>
          <w:rFonts w:hint="eastAsia" w:ascii="仿宋" w:hAnsi="仿宋" w:eastAsia="仿宋" w:cs="仿宋"/>
          <w:sz w:val="32"/>
          <w:szCs w:val="32"/>
        </w:rPr>
        <w:t>领域包括三区项目、暑期夏令营项目、禁毒项目、学校项目、社区矫正项目、青少年服务项目、留守儿童服务项目、社会工作资格证考试培训项目等。其中包括线上、线下督导人数50 余。约培育学生300余人，培训社会工作资格证考试人员约1000人次。社会服务项目惠及人次30000余。领队参与的社会调研及志愿者服务项目共7个项目，其中精准扶贫调研项目已经持续开展了4年，调研人次3000余。在工作期间，指导个案开展，开展咨询个案200人次。</w:t>
      </w:r>
    </w:p>
    <w:p w14:paraId="188B8690">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其中共青团琼海市委青少年事务社会工作服务，近一年所开展服务共计150 余场，协助团委及相关单位开展服务共计20余场；专业小组服务6个，29节；专业个案服务开展5个。其中活动开展服务、协助服务参与人次近5000人，服务惠及学校师生、青少年及其家长</w:t>
      </w:r>
      <w:r>
        <w:rPr>
          <w:rFonts w:hint="eastAsia" w:ascii="仿宋" w:hAnsi="仿宋" w:eastAsia="仿宋" w:cs="仿宋"/>
          <w:sz w:val="32"/>
          <w:szCs w:val="32"/>
          <w:lang w:eastAsia="zh-CN"/>
        </w:rPr>
        <w:t>6000余</w:t>
      </w:r>
      <w:r>
        <w:rPr>
          <w:rFonts w:hint="eastAsia" w:ascii="仿宋" w:hAnsi="仿宋" w:eastAsia="仿宋" w:cs="仿宋"/>
          <w:sz w:val="32"/>
          <w:szCs w:val="32"/>
        </w:rPr>
        <w:t>人。</w:t>
      </w:r>
    </w:p>
    <w:p w14:paraId="6DFDAD6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640" w:firstLineChars="200"/>
        <w:textAlignment w:val="auto"/>
        <w:rPr>
          <w:rFonts w:hint="eastAsia" w:ascii="仿宋" w:hAnsi="仿宋" w:eastAsia="仿宋" w:cs="仿宋"/>
          <w:sz w:val="32"/>
          <w:szCs w:val="32"/>
        </w:rPr>
      </w:pPr>
    </w:p>
    <w:p w14:paraId="16368712">
      <w:pPr>
        <w:spacing w:line="500" w:lineRule="exact"/>
        <w:rPr>
          <w:rFonts w:hint="eastAsia" w:ascii="仿宋" w:hAnsi="仿宋" w:eastAsia="仿宋" w:cs="仿宋"/>
          <w:sz w:val="32"/>
          <w:szCs w:val="32"/>
        </w:rPr>
      </w:pPr>
    </w:p>
    <w:p w14:paraId="0C5F1E65">
      <w:pPr>
        <w:spacing w:line="500" w:lineRule="exact"/>
        <w:rPr>
          <w:rFonts w:hint="eastAsia" w:ascii="仿宋" w:hAnsi="仿宋" w:eastAsia="仿宋" w:cs="仿宋"/>
          <w:sz w:val="32"/>
          <w:szCs w:val="32"/>
        </w:rPr>
      </w:pPr>
    </w:p>
    <w:p w14:paraId="27CF2490">
      <w:pPr>
        <w:spacing w:line="500" w:lineRule="exact"/>
        <w:jc w:val="righ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申报者：</w:t>
      </w:r>
      <w:r>
        <w:rPr>
          <w:rFonts w:hint="eastAsia" w:ascii="仿宋" w:hAnsi="仿宋" w:eastAsia="仿宋" w:cs="仿宋"/>
          <w:sz w:val="32"/>
          <w:szCs w:val="32"/>
          <w:lang w:val="en-US" w:eastAsia="zh-CN"/>
        </w:rPr>
        <w:t xml:space="preserve">韩潇霏 </w:t>
      </w:r>
      <w:r>
        <w:rPr>
          <w:rFonts w:hint="eastAsia" w:ascii="仿宋" w:hAnsi="仿宋" w:eastAsia="仿宋" w:cs="仿宋"/>
          <w:sz w:val="32"/>
          <w:szCs w:val="32"/>
        </w:rPr>
        <w:t>学院</w:t>
      </w:r>
      <w:r>
        <w:rPr>
          <w:rFonts w:hint="eastAsia" w:ascii="仿宋" w:hAnsi="仿宋" w:eastAsia="仿宋" w:cs="仿宋"/>
          <w:sz w:val="32"/>
          <w:szCs w:val="32"/>
          <w:lang w:val="en-US" w:eastAsia="zh-CN"/>
        </w:rPr>
        <w:t>社会学院</w:t>
      </w:r>
    </w:p>
    <w:p w14:paraId="36B00149">
      <w:pPr>
        <w:spacing w:line="500" w:lineRule="exact"/>
        <w:ind w:left="4314" w:leftChars="1064" w:hanging="2080" w:hangingChars="65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2024</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05</w:t>
      </w:r>
      <w:r>
        <w:rPr>
          <w:rFonts w:hint="eastAsia" w:ascii="仿宋" w:hAnsi="仿宋" w:eastAsia="仿宋" w:cs="仿宋"/>
          <w:sz w:val="32"/>
          <w:szCs w:val="32"/>
        </w:rPr>
        <w:t>日</w:t>
      </w:r>
    </w:p>
    <w:p w14:paraId="247593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851E6F"/>
    <w:rsid w:val="46851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ind w:firstLine="200" w:firstLineChars="200"/>
    </w:pPr>
    <w:rPr>
      <w:rFonts w:eastAsia="仿宋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2024-12-11T03:02:00Z</dcterms:created>
  <dc:creator>善來</dc:creator>
  <cp:lastModifiedBy>善來</cp:lastModifiedBy>
  <dcterms:modified xsi:type="dcterms:W3CDTF">2024-12-11T03:02:34Z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D791567232B54494938F8572CCA5C845_11</vt:lpwstr>
  </property>
</Properties>
</file>